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9D" w:rsidRPr="00EE2497" w:rsidRDefault="0053559D" w:rsidP="0053559D">
      <w:pPr>
        <w:spacing w:line="259" w:lineRule="auto"/>
        <w:ind w:left="26"/>
        <w:jc w:val="right"/>
        <w:rPr>
          <w:rFonts w:ascii="Arial" w:hAnsi="Arial" w:cs="Arial"/>
          <w:b/>
          <w:sz w:val="18"/>
          <w:szCs w:val="20"/>
        </w:rPr>
      </w:pPr>
      <w:r w:rsidRPr="00EE2497">
        <w:rPr>
          <w:rFonts w:ascii="Arial" w:hAnsi="Arial" w:cs="Arial"/>
          <w:b/>
          <w:sz w:val="18"/>
          <w:szCs w:val="20"/>
        </w:rPr>
        <w:t>FORMATO-VI-IESA</w:t>
      </w: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b/>
          <w:sz w:val="18"/>
          <w:szCs w:val="20"/>
        </w:rPr>
      </w:pP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b/>
          <w:sz w:val="18"/>
          <w:szCs w:val="20"/>
        </w:rPr>
      </w:pPr>
      <w:r w:rsidRPr="00EE2497">
        <w:rPr>
          <w:rFonts w:ascii="Arial" w:hAnsi="Arial" w:cs="Arial"/>
          <w:b/>
          <w:sz w:val="18"/>
          <w:szCs w:val="20"/>
        </w:rPr>
        <w:t xml:space="preserve">VI. INSTITUCIONES DE EDUCACIÓN SUPERIOR </w:t>
      </w:r>
      <w:r>
        <w:rPr>
          <w:rFonts w:ascii="Arial" w:hAnsi="Arial" w:cs="Arial"/>
          <w:b/>
          <w:sz w:val="18"/>
          <w:szCs w:val="20"/>
        </w:rPr>
        <w:t xml:space="preserve">PÚBLICAS </w:t>
      </w:r>
      <w:r w:rsidRPr="00EE2497">
        <w:rPr>
          <w:rFonts w:ascii="Arial" w:hAnsi="Arial" w:cs="Arial"/>
          <w:b/>
          <w:sz w:val="18"/>
          <w:szCs w:val="20"/>
        </w:rPr>
        <w:t>DOTADAS DE AUTONOMÍA</w:t>
      </w:r>
    </w:p>
    <w:p w:rsidR="0053559D" w:rsidRPr="00EE2497" w:rsidRDefault="0053559D" w:rsidP="0053559D">
      <w:pPr>
        <w:jc w:val="center"/>
        <w:rPr>
          <w:rFonts w:ascii="Arial" w:hAnsi="Arial" w:cs="Arial"/>
          <w:b/>
          <w:sz w:val="18"/>
          <w:szCs w:val="20"/>
        </w:rPr>
      </w:pPr>
    </w:p>
    <w:p w:rsidR="0053559D" w:rsidRPr="00EE2497" w:rsidRDefault="0053559D" w:rsidP="0053559D">
      <w:pPr>
        <w:jc w:val="center"/>
        <w:rPr>
          <w:rFonts w:ascii="Arial" w:hAnsi="Arial" w:cs="Arial"/>
          <w:b/>
          <w:sz w:val="18"/>
          <w:szCs w:val="20"/>
        </w:rPr>
      </w:pPr>
      <w:r w:rsidRPr="00EE2497">
        <w:rPr>
          <w:rFonts w:ascii="Arial" w:hAnsi="Arial" w:cs="Arial"/>
          <w:b/>
          <w:sz w:val="18"/>
          <w:szCs w:val="20"/>
        </w:rPr>
        <w:t>Tabla de aplicabilidad de las obligaciones comunes y específ</w:t>
      </w:r>
      <w:r w:rsidR="00F71102">
        <w:rPr>
          <w:rFonts w:ascii="Arial" w:hAnsi="Arial" w:cs="Arial"/>
          <w:b/>
          <w:sz w:val="18"/>
          <w:szCs w:val="20"/>
        </w:rPr>
        <w:t>icas de la U</w:t>
      </w:r>
      <w:r w:rsidR="0067270A">
        <w:rPr>
          <w:rFonts w:ascii="Arial" w:hAnsi="Arial" w:cs="Arial"/>
          <w:b/>
          <w:sz w:val="18"/>
          <w:szCs w:val="20"/>
        </w:rPr>
        <w:t>niversidad Autónoma del Carmen,</w:t>
      </w:r>
      <w:r w:rsidRPr="00EE2497">
        <w:rPr>
          <w:rFonts w:ascii="Arial" w:hAnsi="Arial" w:cs="Arial"/>
          <w:b/>
          <w:sz w:val="18"/>
          <w:szCs w:val="20"/>
        </w:rPr>
        <w:t xml:space="preserve"> corr</w:t>
      </w:r>
      <w:r w:rsidR="00CD10B7">
        <w:rPr>
          <w:rFonts w:ascii="Arial" w:hAnsi="Arial" w:cs="Arial"/>
          <w:b/>
          <w:sz w:val="18"/>
          <w:szCs w:val="20"/>
        </w:rPr>
        <w:t>espondiente al año 2022</w:t>
      </w:r>
      <w:bookmarkStart w:id="0" w:name="_GoBack"/>
      <w:bookmarkEnd w:id="0"/>
      <w:r w:rsidR="007C135B">
        <w:rPr>
          <w:rFonts w:ascii="Arial" w:hAnsi="Arial" w:cs="Arial"/>
          <w:b/>
          <w:sz w:val="18"/>
          <w:szCs w:val="20"/>
        </w:rPr>
        <w:t>.</w:t>
      </w: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b/>
          <w:sz w:val="18"/>
          <w:szCs w:val="20"/>
        </w:rPr>
      </w:pPr>
    </w:p>
    <w:p w:rsidR="0053559D" w:rsidRPr="00EE2497" w:rsidRDefault="0053559D" w:rsidP="0053559D">
      <w:pPr>
        <w:spacing w:line="259" w:lineRule="auto"/>
        <w:ind w:left="26"/>
        <w:rPr>
          <w:rFonts w:ascii="Arial" w:hAnsi="Arial" w:cs="Arial"/>
          <w:sz w:val="18"/>
          <w:szCs w:val="20"/>
        </w:rPr>
      </w:pPr>
      <w:r w:rsidRPr="00EE2497">
        <w:rPr>
          <w:rFonts w:ascii="Arial" w:hAnsi="Arial" w:cs="Arial"/>
          <w:sz w:val="18"/>
          <w:szCs w:val="20"/>
        </w:rPr>
        <w:t>Artículos 74 y 80 de la Ley de Transparencia y Acceso a la Información Pública del Estado de Campeche.</w:t>
      </w:r>
    </w:p>
    <w:tbl>
      <w:tblPr>
        <w:tblStyle w:val="Tablaconcuadrcula"/>
        <w:tblW w:w="10926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762"/>
        <w:gridCol w:w="1303"/>
        <w:gridCol w:w="3314"/>
        <w:gridCol w:w="1559"/>
        <w:gridCol w:w="699"/>
        <w:gridCol w:w="866"/>
      </w:tblGrid>
      <w:tr w:rsidR="0053559D" w:rsidRPr="00845A46" w:rsidTr="005B0F4E">
        <w:trPr>
          <w:trHeight w:val="761"/>
          <w:jc w:val="center"/>
        </w:trPr>
        <w:tc>
          <w:tcPr>
            <w:tcW w:w="1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TIPO DE SUJETO OBLIGADO</w:t>
            </w:r>
          </w:p>
        </w:tc>
        <w:tc>
          <w:tcPr>
            <w:tcW w:w="6379" w:type="dxa"/>
            <w:gridSpan w:val="3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OBLIGACIONES COMUNES </w:t>
            </w:r>
          </w:p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(artículo 74 de la Ley Estatal)</w:t>
            </w:r>
          </w:p>
        </w:tc>
        <w:tc>
          <w:tcPr>
            <w:tcW w:w="3124" w:type="dxa"/>
            <w:gridSpan w:val="3"/>
            <w:tcMar>
              <w:left w:w="28" w:type="dxa"/>
              <w:right w:w="28" w:type="dxa"/>
            </w:tcMar>
            <w:vAlign w:val="center"/>
          </w:tcPr>
          <w:p w:rsidR="005355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OBLIGACIONES ESPECÍFICAS </w:t>
            </w:r>
          </w:p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(artículo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80 de la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Ley Estatal)</w:t>
            </w:r>
          </w:p>
        </w:tc>
      </w:tr>
      <w:tr w:rsidR="0053559D" w:rsidRPr="00845A46" w:rsidTr="005B0F4E">
        <w:trPr>
          <w:trHeight w:val="86"/>
          <w:jc w:val="center"/>
        </w:trPr>
        <w:tc>
          <w:tcPr>
            <w:tcW w:w="1423" w:type="dxa"/>
            <w:vMerge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4617" w:type="dxa"/>
            <w:gridSpan w:val="2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NO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1565" w:type="dxa"/>
            <w:gridSpan w:val="2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NO A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PLICA</w:t>
            </w:r>
          </w:p>
        </w:tc>
      </w:tr>
      <w:tr w:rsidR="009B089C" w:rsidRPr="00845A46" w:rsidTr="005B0F4E">
        <w:trPr>
          <w:trHeight w:val="1412"/>
          <w:jc w:val="center"/>
        </w:trPr>
        <w:tc>
          <w:tcPr>
            <w:tcW w:w="1423" w:type="dxa"/>
            <w:vMerge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3314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Razón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general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y fundamento legal de la no aplicabilidad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53559D" w:rsidRPr="00C5409D" w:rsidRDefault="0053559D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Razón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general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y fundamento legal de la no aplicabilidad</w:t>
            </w:r>
          </w:p>
        </w:tc>
      </w:tr>
      <w:tr w:rsidR="009B089C" w:rsidRPr="00845A46" w:rsidTr="005B0F4E">
        <w:trPr>
          <w:trHeight w:val="1031"/>
          <w:jc w:val="center"/>
        </w:trPr>
        <w:tc>
          <w:tcPr>
            <w:tcW w:w="1423" w:type="dxa"/>
            <w:tcMar>
              <w:left w:w="28" w:type="dxa"/>
              <w:right w:w="28" w:type="dxa"/>
            </w:tcMar>
          </w:tcPr>
          <w:p w:rsidR="0053559D" w:rsidRPr="00C540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:rsidR="0053559D" w:rsidRPr="00C540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:rsidR="005355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Instituciones de educación superior públicas dotadas de autonomía</w:t>
            </w:r>
          </w:p>
          <w:p w:rsidR="0053559D" w:rsidRPr="00C5409D" w:rsidRDefault="0053559D" w:rsidP="00774613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</w:tcPr>
          <w:p w:rsidR="00F8452D" w:rsidRDefault="00F8452D" w:rsidP="00F8452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I, II, III, IV, V, VI, VII, VIII, IX,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</w:rPr>
              <w:t xml:space="preserve">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XI, XII, XIII, XIV, XVI </w:t>
            </w:r>
            <w:r>
              <w:rPr>
                <w:rFonts w:ascii="Calibri" w:hAnsi="Calibri" w:cs="Calibri"/>
                <w:b/>
              </w:rPr>
              <w:t>Incisos: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XVII, XVIII, XIX, XX,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XXI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</w:t>
            </w:r>
            <w:proofErr w:type="spellEnd"/>
            <w:r>
              <w:rPr>
                <w:rFonts w:ascii="Calibri" w:hAnsi="Calibri" w:cs="Calibri"/>
              </w:rPr>
              <w:t xml:space="preserve">; XXII,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XXIII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,c,d</w:t>
            </w:r>
            <w:proofErr w:type="spellEnd"/>
            <w:r>
              <w:rPr>
                <w:rFonts w:ascii="Calibri" w:hAnsi="Calibri" w:cs="Calibri"/>
              </w:rPr>
              <w:t xml:space="preserve">; XXIV, XXV, XXVI, XXVII, XXVIII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r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</w:rPr>
              <w:t xml:space="preserve"> XXIX, XXX, XXXI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r>
              <w:rPr>
                <w:rFonts w:ascii="Calibri" w:hAnsi="Calibri" w:cs="Calibri"/>
              </w:rPr>
              <w:t xml:space="preserve">; XXXII, XXXIII, 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XXXIV</w:t>
            </w:r>
            <w:r>
              <w:rPr>
                <w:rFonts w:ascii="Calibri" w:hAnsi="Calibri" w:cs="Calibri"/>
                <w:b/>
              </w:rPr>
              <w:t xml:space="preserve"> 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,c,d,e,f,g</w:t>
            </w:r>
            <w:proofErr w:type="spellEnd"/>
            <w:r>
              <w:rPr>
                <w:rFonts w:ascii="Calibri" w:hAnsi="Calibri" w:cs="Calibri"/>
                <w:b/>
              </w:rPr>
              <w:t xml:space="preserve">; </w:t>
            </w:r>
            <w:r>
              <w:rPr>
                <w:rFonts w:ascii="Calibri" w:hAnsi="Calibri" w:cs="Calibri"/>
              </w:rPr>
              <w:t xml:space="preserve">XXXVI, XXXIX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r>
              <w:rPr>
                <w:rFonts w:ascii="Calibri" w:hAnsi="Calibri" w:cs="Calibri"/>
                <w:b/>
              </w:rPr>
              <w:t>a,b,c,d</w:t>
            </w:r>
            <w:proofErr w:type="spellEnd"/>
            <w:r>
              <w:rPr>
                <w:rFonts w:ascii="Calibri" w:hAnsi="Calibri" w:cs="Calibri"/>
                <w:b/>
              </w:rPr>
              <w:t xml:space="preserve">;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XLI,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; 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XLV,  </w:t>
            </w:r>
          </w:p>
          <w:p w:rsidR="00F8452D" w:rsidRDefault="00F8452D" w:rsidP="00F8452D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XLVIII </w:t>
            </w:r>
            <w:r>
              <w:rPr>
                <w:rFonts w:ascii="Calibri" w:hAnsi="Calibri" w:cs="Calibri"/>
                <w:b/>
              </w:rPr>
              <w:t xml:space="preserve">Incisos: 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a,b</w:t>
            </w:r>
            <w:proofErr w:type="gramEnd"/>
            <w:r>
              <w:rPr>
                <w:rFonts w:ascii="Calibri" w:hAnsi="Calibri" w:cs="Calibri"/>
                <w:b/>
              </w:rPr>
              <w:t>,c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</w:rPr>
              <w:t xml:space="preserve">Los sujetos obligados deberán informar a los </w:t>
            </w:r>
            <w:r>
              <w:rPr>
                <w:color w:val="000000"/>
                <w:sz w:val="20"/>
                <w:szCs w:val="20"/>
              </w:rPr>
              <w:lastRenderedPageBreak/>
              <w:t>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  <w:p w:rsidR="00F8452D" w:rsidRDefault="00F8452D" w:rsidP="00F8452D">
            <w:pPr>
              <w:rPr>
                <w:rFonts w:ascii="Calibri" w:hAnsi="Calibri" w:cs="Calibri"/>
              </w:rPr>
            </w:pPr>
          </w:p>
          <w:p w:rsidR="0053559D" w:rsidRPr="00C5409D" w:rsidRDefault="00F8452D" w:rsidP="00F8452D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:rsidR="000A2317" w:rsidRDefault="000A2317" w:rsidP="000A23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lastRenderedPageBreak/>
              <w:t>XV.</w:t>
            </w:r>
            <w:r>
              <w:rPr>
                <w:sz w:val="20"/>
                <w:szCs w:val="20"/>
              </w:rPr>
              <w:t>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XXXV.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XXXVII.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XXXVIII.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XLIV. Incisos: a, b.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XLVI Incisos: a, b.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XLVII Incisos: </w:t>
            </w:r>
            <w:proofErr w:type="gramStart"/>
            <w:r>
              <w:rPr>
                <w:rFonts w:ascii="Calibri" w:eastAsia="Calibri" w:hAnsi="Calibri" w:cs="Calibri"/>
                <w:b/>
                <w:lang w:eastAsia="en-US"/>
              </w:rPr>
              <w:t>a ,</w:t>
            </w:r>
            <w:proofErr w:type="gramEnd"/>
            <w:r>
              <w:rPr>
                <w:rFonts w:ascii="Calibri" w:eastAsia="Calibri" w:hAnsi="Calibri" w:cs="Calibri"/>
                <w:b/>
                <w:lang w:eastAsia="en-US"/>
              </w:rPr>
              <w:t xml:space="preserve"> b, c.</w:t>
            </w:r>
          </w:p>
          <w:p w:rsidR="000A2317" w:rsidRDefault="000A2317" w:rsidP="000A231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</w:p>
          <w:p w:rsidR="000A2317" w:rsidRDefault="000A2317" w:rsidP="000A2317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:rsidR="0053559D" w:rsidRPr="00C5409D" w:rsidRDefault="0053559D" w:rsidP="00774613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3314" w:type="dxa"/>
            <w:tcMar>
              <w:left w:w="28" w:type="dxa"/>
              <w:right w:w="28" w:type="dxa"/>
            </w:tcMar>
          </w:tcPr>
          <w:p w:rsidR="008017D4" w:rsidRDefault="008017D4" w:rsidP="008017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XV.</w:t>
            </w:r>
            <w:r>
              <w:rPr>
                <w:sz w:val="20"/>
                <w:szCs w:val="20"/>
              </w:rPr>
              <w:t xml:space="preserve"> En razón que dicha actividad no es parte del objeto, actividades, y atribuciones de este Sujeto Obligado, en términos del Art. 2 de la Ley Constitutiva, y Artículos 6 y 7 del Estatuto General de la institución.</w:t>
            </w:r>
          </w:p>
          <w:p w:rsidR="008017D4" w:rsidRDefault="008017D4" w:rsidP="008017D4">
            <w:pPr>
              <w:rPr>
                <w:sz w:val="20"/>
                <w:szCs w:val="20"/>
              </w:rPr>
            </w:pPr>
          </w:p>
          <w:p w:rsidR="008017D4" w:rsidRDefault="008017D4" w:rsidP="00801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XXXV. </w:t>
            </w:r>
            <w:r>
              <w:rPr>
                <w:color w:val="000000"/>
                <w:sz w:val="20"/>
                <w:szCs w:val="20"/>
              </w:rPr>
              <w:t>Las recomendaciones emitidas por los órganos públicos del Estado mexicano u organismos internacionales garantes de los derechos humanos, así como las acciones que han llevado a cabo para su atención. Sólo en caso de darse.</w:t>
            </w:r>
          </w:p>
          <w:p w:rsidR="008017D4" w:rsidRDefault="008017D4" w:rsidP="008017D4">
            <w:pPr>
              <w:rPr>
                <w:b/>
                <w:sz w:val="20"/>
                <w:szCs w:val="20"/>
              </w:rPr>
            </w:pPr>
          </w:p>
          <w:p w:rsidR="008017D4" w:rsidRDefault="008017D4" w:rsidP="008017D4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>XXXVII</w:t>
            </w:r>
            <w: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En razón de atribuciones de este Sujeto Obligado, en términos del Artículo 8 de la Ley Orgánica y Artículo 33 del Estatuto General de la institución.</w:t>
            </w:r>
          </w:p>
          <w:p w:rsidR="008017D4" w:rsidRDefault="008017D4" w:rsidP="008017D4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>XXXVIII</w:t>
            </w:r>
            <w: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En razón que dicha actividad no es parte del objeto, actividades, y atribuciones de este Sujeto Obligado, en términos del Art. 2 de la Ley Constitutiva, y Artículos 6 y 7 del Estatuto General de la institución.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 xml:space="preserve">XLIV. Incisos: a, b. </w:t>
            </w:r>
            <w:r>
              <w:rPr>
                <w:color w:val="000000"/>
                <w:sz w:val="20"/>
                <w:szCs w:val="20"/>
              </w:rPr>
              <w:t>No Aplica</w:t>
            </w:r>
            <w:r w:rsidR="005B0F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En razón que dicha actividad no es parte del objeto, actividades, y atribuciones de este Sujeto Obligado, en términos del Art. 2 de la Ley Constitutiva, y Artículos 6 y </w:t>
            </w:r>
            <w:proofErr w:type="gramStart"/>
            <w:r>
              <w:rPr>
                <w:sz w:val="20"/>
                <w:szCs w:val="20"/>
              </w:rPr>
              <w:t>7  del</w:t>
            </w:r>
            <w:proofErr w:type="gramEnd"/>
            <w:r>
              <w:rPr>
                <w:sz w:val="20"/>
                <w:szCs w:val="20"/>
              </w:rPr>
              <w:t xml:space="preserve"> Estatuto General de la institución.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</w:pPr>
          </w:p>
          <w:p w:rsidR="008017D4" w:rsidRDefault="008017D4" w:rsidP="008017D4">
            <w:pP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lastRenderedPageBreak/>
              <w:t xml:space="preserve">XLVI. Incisos: a, b.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Conforme a la Ley Constitutiva, Ley Orgánica, Estatuto General, y demás normativa aplicable de la Universidad Autónoma del Carmen, esta institución no cuenta con la figura de Consejo Consultivo.</w:t>
            </w: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</w:p>
          <w:p w:rsidR="008017D4" w:rsidRDefault="008017D4" w:rsidP="008017D4">
            <w:pP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MX" w:eastAsia="en-US"/>
              </w:rPr>
              <w:t>XLVII. Incisos: a, b, c.</w:t>
            </w:r>
            <w:r>
              <w:rPr>
                <w:rFonts w:ascii="Calibri" w:eastAsia="Calibri" w:hAnsi="Calibri" w:cs="Calibri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MX" w:eastAsia="es-MX"/>
              </w:rPr>
              <w:t>En razón que dicha actividad no es parte del objeto, actividades, y atribuciones de este Sujeto Obligado, en términos del Art. 2 de la Ley Constitutiva, y Artículos 6 y 7 del Estatuto General de la institución.  Y los Art. 291 a 303 del Código Nacional de Procedimientos Penales.</w:t>
            </w:r>
          </w:p>
          <w:p w:rsidR="0053559D" w:rsidRPr="008017D4" w:rsidRDefault="0053559D" w:rsidP="00774613">
            <w:pPr>
              <w:rPr>
                <w:rFonts w:ascii="Arial" w:eastAsia="Calibri" w:hAnsi="Arial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I,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  <w:b/>
              </w:rPr>
              <w:t xml:space="preserve"> Incisos a, b</w:t>
            </w:r>
            <w:r>
              <w:rPr>
                <w:rFonts w:ascii="Calibri" w:hAnsi="Calibri" w:cs="Calibri"/>
              </w:rPr>
              <w:t xml:space="preserve">;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III,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  <w:r>
              <w:rPr>
                <w:rFonts w:ascii="Calibri" w:hAnsi="Calibri" w:cs="Calibri"/>
                <w:b/>
              </w:rPr>
              <w:t xml:space="preserve"> Incisos: a, b</w:t>
            </w:r>
            <w:r>
              <w:rPr>
                <w:rFonts w:ascii="Calibri" w:hAnsi="Calibri" w:cs="Calibri"/>
              </w:rPr>
              <w:t>;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V, VI,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</w:t>
            </w:r>
            <w:r>
              <w:rPr>
                <w:rFonts w:ascii="Calibri" w:hAnsi="Calibri" w:cs="Calibri"/>
                <w:b/>
              </w:rPr>
              <w:t xml:space="preserve"> Incisos: a, b;</w:t>
            </w:r>
            <w:r>
              <w:rPr>
                <w:rFonts w:ascii="Calibri" w:hAnsi="Calibri" w:cs="Calibri"/>
              </w:rPr>
              <w:t xml:space="preserve"> </w:t>
            </w:r>
          </w:p>
          <w:p w:rsidR="000A2317" w:rsidRDefault="000A2317" w:rsidP="000A23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VIII y </w:t>
            </w:r>
          </w:p>
          <w:p w:rsidR="0053559D" w:rsidRPr="00C5409D" w:rsidRDefault="000A2317" w:rsidP="000A2317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Calibri" w:hAnsi="Calibri" w:cs="Calibri"/>
              </w:rPr>
              <w:t xml:space="preserve">IX </w:t>
            </w:r>
            <w:r>
              <w:rPr>
                <w:rFonts w:ascii="Calibri" w:hAnsi="Calibri" w:cs="Calibri"/>
                <w:b/>
              </w:rPr>
              <w:t>Incisos: a, b</w:t>
            </w:r>
          </w:p>
        </w:tc>
        <w:tc>
          <w:tcPr>
            <w:tcW w:w="699" w:type="dxa"/>
            <w:tcMar>
              <w:left w:w="28" w:type="dxa"/>
              <w:right w:w="28" w:type="dxa"/>
            </w:tcMar>
          </w:tcPr>
          <w:p w:rsidR="0053559D" w:rsidRPr="00560CBE" w:rsidRDefault="009B089C" w:rsidP="007746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60CB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Cero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</w:tcPr>
          <w:p w:rsidR="0053559D" w:rsidRPr="00C5409D" w:rsidRDefault="0053559D" w:rsidP="00774613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</w:tr>
    </w:tbl>
    <w:p w:rsidR="004C58F9" w:rsidRDefault="004C58F9"/>
    <w:sectPr w:rsidR="004C5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9D"/>
    <w:rsid w:val="000A2317"/>
    <w:rsid w:val="004C58F9"/>
    <w:rsid w:val="004D0A1D"/>
    <w:rsid w:val="0053559D"/>
    <w:rsid w:val="00560CBE"/>
    <w:rsid w:val="005B0F4E"/>
    <w:rsid w:val="0067270A"/>
    <w:rsid w:val="007313DA"/>
    <w:rsid w:val="007C135B"/>
    <w:rsid w:val="008017D4"/>
    <w:rsid w:val="0081296A"/>
    <w:rsid w:val="009B089C"/>
    <w:rsid w:val="00CD10B7"/>
    <w:rsid w:val="00F71102"/>
    <w:rsid w:val="00F8452D"/>
    <w:rsid w:val="00FB159E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EFB8"/>
  <w15:chartTrackingRefBased/>
  <w15:docId w15:val="{23822DA1-0409-4B4B-9762-E71E870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5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DCVSO_SERVER</dc:creator>
  <cp:keywords/>
  <dc:description/>
  <cp:lastModifiedBy>Jorge Calderon Abreu</cp:lastModifiedBy>
  <cp:revision>3</cp:revision>
  <dcterms:created xsi:type="dcterms:W3CDTF">2022-03-28T18:55:00Z</dcterms:created>
  <dcterms:modified xsi:type="dcterms:W3CDTF">2022-03-28T18:55:00Z</dcterms:modified>
</cp:coreProperties>
</file>